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776550" w:rsidRPr="000113AE">
              <w:rPr>
                <w:rFonts w:asciiTheme="minorHAnsi" w:hAnsiTheme="minorHAnsi" w:cstheme="minorHAnsi"/>
              </w:rPr>
              <w:t>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BD3AA1">
              <w:rPr>
                <w:rFonts w:asciiTheme="minorHAnsi" w:hAnsiTheme="minorHAnsi" w:cstheme="minorHAnsi"/>
                <w:b/>
              </w:rPr>
              <w:t>IV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BD3AA1" w:rsidRPr="00BD3AA1">
              <w:rPr>
                <w:rFonts w:asciiTheme="minorHAnsi" w:hAnsiTheme="minorHAnsi" w:cstheme="minorHAnsi"/>
              </w:rPr>
              <w:t>Kliniczne Podstawy Fizjoterapii w Medycynie Sportowej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BD3AA1" w:rsidRPr="00BD3AA1" w:rsidRDefault="00BD3AA1" w:rsidP="00BD3AA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BD3AA1">
              <w:rPr>
                <w:rFonts w:asciiTheme="minorHAnsi" w:hAnsiTheme="minorHAnsi" w:cstheme="minorHAnsi"/>
              </w:rPr>
              <w:t>Etiologię, patomechanizm, objawy i przebieg dysfunkcji narządu ruchu w zakresie: ortopedii i traumatologii, medycyny sportowej, reumatologii, neurologii i neurochirurgii oraz pediatrii, neurologii dziecięcej, w stopniu umożliwiającym racjonalne stosowanie środków fizjoterapii;</w:t>
            </w:r>
          </w:p>
          <w:p w:rsidR="00D33D4E" w:rsidRPr="00BD3AA1" w:rsidRDefault="00BD3AA1" w:rsidP="00BD3AA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BD3AA1">
              <w:rPr>
                <w:rFonts w:asciiTheme="minorHAnsi" w:hAnsiTheme="minorHAnsi" w:cstheme="minorHAnsi"/>
              </w:rPr>
              <w:t>Fizjologię procesu starzenia się oraz zasady opieki i fizjoterapii geriatrycznej;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6E41E7" w:rsidRPr="000113AE" w:rsidRDefault="00AD301D" w:rsidP="00B14B4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B14B41" w:rsidRPr="00B14B41">
              <w:rPr>
                <w:rFonts w:asciiTheme="minorHAnsi" w:hAnsiTheme="minorHAnsi" w:cstheme="minorHAnsi"/>
              </w:rPr>
              <w:t>DW.1</w:t>
            </w:r>
            <w:r w:rsidR="00B14B41">
              <w:rPr>
                <w:rFonts w:asciiTheme="minorHAnsi" w:hAnsiTheme="minorHAnsi" w:cstheme="minorHAnsi"/>
              </w:rPr>
              <w:t xml:space="preserve">, </w:t>
            </w:r>
            <w:r w:rsidR="00B14B41" w:rsidRPr="00B14B41">
              <w:rPr>
                <w:rFonts w:asciiTheme="minorHAnsi" w:hAnsiTheme="minorHAnsi" w:cstheme="minorHAnsi"/>
              </w:rPr>
              <w:t>DW.1</w:t>
            </w:r>
            <w:r w:rsidR="00B14B41">
              <w:rPr>
                <w:rFonts w:asciiTheme="minorHAnsi" w:hAnsiTheme="minorHAnsi" w:cstheme="minorHAnsi"/>
              </w:rPr>
              <w:t xml:space="preserve">2, </w:t>
            </w:r>
            <w:r w:rsidR="00B14B41" w:rsidRPr="00B14B41">
              <w:rPr>
                <w:rFonts w:asciiTheme="minorHAnsi" w:hAnsiTheme="minorHAnsi" w:cstheme="minorHAnsi"/>
                <w:color w:val="FF0000"/>
              </w:rPr>
              <w:t>DW.8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BD3AA1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36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B1FED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B1FED">
              <w:rPr>
                <w:rFonts w:asciiTheme="minorHAnsi" w:hAnsiTheme="minorHAnsi" w:cstheme="minorHAnsi"/>
              </w:rPr>
              <w:t xml:space="preserve">Egzamin zintegrowany </w:t>
            </w:r>
            <w:proofErr w:type="spellStart"/>
            <w:r w:rsidRPr="009B1FED">
              <w:rPr>
                <w:rFonts w:asciiTheme="minorHAnsi" w:hAnsiTheme="minorHAnsi" w:cstheme="minorHAnsi"/>
              </w:rPr>
              <w:t>sem</w:t>
            </w:r>
            <w:proofErr w:type="spellEnd"/>
            <w:r w:rsidRPr="009B1FED">
              <w:rPr>
                <w:rFonts w:asciiTheme="minorHAnsi" w:hAnsiTheme="minorHAnsi" w:cstheme="minorHAnsi"/>
              </w:rPr>
              <w:t>. IV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3E6AFE" w:rsidP="003E6AFE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E6AFE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B1FED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4B41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95A9F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3AA1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C3E9B"/>
  <w15:docId w15:val="{BDD998D5-32E1-4A3A-9493-1E1A9B75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296E9-0BA5-461D-9C65-6BA612BA7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2020-02-19T10:43:00Z</dcterms:created>
  <dcterms:modified xsi:type="dcterms:W3CDTF">2020-06-03T08:42:00Z</dcterms:modified>
</cp:coreProperties>
</file>